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Summary of Relationships Between Core Concepts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(1)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human body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– with its distinctive brain structure and vocal tract –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helps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make possible (on the level of our anatomy)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human (symbolic) language.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 ability to use (2)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symbolic language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is a sign of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our ontological capacity for natural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reason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(3)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natural reason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or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rational soul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of the human person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was given to each of us for the purpose of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knowing and loving the God of the universe and each other.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By knowing and loving God and each other, we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activate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(4)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the image of God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within us.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1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u w:val="single"/>
            <w:rtl w:val="0"/>
          </w:rPr>
          <w:t xml:space="preserve">See Example Mental Map for this Assignment Here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TbAwcQmQ3mm5qoVOYYduCaw29ymzikPP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